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80" w:after="80"/>
      </w:pPr>
      <w:r>
        <w:rPr>
          <w:rFonts w:ascii="Arial" w:cs="Arial" w:eastAsia="Arial" w:hAnsi="Arial"/>
          <w:b/>
          <w:bCs/>
          <w:color w:val="1F4E79"/>
          <w:sz w:val="56"/>
          <w:szCs w:val="56"/>
        </w:rPr>
        <w:t xml:space="preserve">AIEP GENOME</w:t>
      </w:r>
    </w:p>
    <w:p>
      <w:pPr>
        <w:spacing w:before="0" w:after="120"/>
      </w:pPr>
      <w:r>
        <w:rPr>
          <w:rFonts w:ascii="Arial" w:cs="Arial" w:eastAsia="Arial" w:hAnsi="Arial"/>
          <w:b/>
          <w:bCs/>
          <w:color w:val="2E75B6"/>
          <w:sz w:val="40"/>
          <w:szCs w:val="40"/>
        </w:rPr>
        <w:t xml:space="preserve">Flexibility Contract v1.0</w:t>
      </w:r>
    </w:p>
    <w:p>
      <w:pPr>
        <w:pBdr>
          <w:bottom w:val="single" w:color="2E75B6" w:sz="8" w:space="4"/>
        </w:pBdr>
        <w:spacing w:before="0" w:after="160"/>
      </w:pP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Document number</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AIEP-FC-001</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Version</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1.0.0 — BINDING</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Status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Binding Architectural Constraint</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Effective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2026-02-27</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Applies to</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All AIEP GENOME SDK builds and downstream SaaS systems</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Supersedes</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None — first issuance</w:t>
            </w:r>
          </w:p>
        </w:tc>
      </w:tr>
    </w:tbl>
    <w:p>
      <w:pPr>
        <w:spacing w:before="80" w:after="80"/>
      </w:pPr>
    </w:p>
    <w:p>
      <w:pPr>
        <w:spacing w:before="80" w:after="80"/>
      </w:pPr>
      <w:r>
        <w:rPr>
          <w:rFonts w:ascii="Arial" w:cs="Arial" w:eastAsia="Arial" w:hAnsi="Arial"/>
          <w:color w:val="404040"/>
          <w:sz w:val="22"/>
          <w:szCs w:val="22"/>
        </w:rPr>
        <w:t xml:space="preserve">This document defines how AIEP GENOME can be simultaneously a protocol reference implementation, a production SaaS foundation, and flexible — without compromising determinism, replayability, canon integrity, or mirror compatibility.</w:t>
      </w:r>
    </w:p>
    <w:p>
      <w:pPr>
        <w:spacing w:before="80" w:after="80"/>
      </w:pPr>
    </w:p>
    <w:p>
      <w:pPr>
        <w:shd w:fill="FFF2CC" w:val="clear"/>
        <w:spacing w:before="100" w:after="60"/>
        <w:ind w:left="360" w:right="360"/>
      </w:pPr>
      <w:r>
        <w:rPr>
          <w:rFonts w:ascii="Arial" w:cs="Arial" w:eastAsia="Arial" w:hAnsi="Arial"/>
          <w:color w:val="7F5200"/>
          <w:sz w:val="22"/>
          <w:szCs w:val="22"/>
        </w:rPr>
        <w:t xml:space="preserve">⚠  Flexibility is permitted. Core mutation is not. This is a binding architectural constraint, not a guideline.</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§0   Purpose</w:t>
      </w:r>
    </w:p>
    <w:p>
      <w:pPr>
        <w:spacing w:before="80" w:after="80"/>
      </w:pPr>
      <w:r>
        <w:rPr>
          <w:rFonts w:ascii="Arial" w:cs="Arial" w:eastAsia="Arial" w:hAnsi="Arial"/>
          <w:color w:val="404040"/>
          <w:sz w:val="22"/>
          <w:szCs w:val="22"/>
        </w:rPr>
        <w:t xml:space="preserve">GENOME must satisfy three goals that appear to be in tension:</w:t>
      </w:r>
    </w:p>
    <w:p>
      <w:pPr>
        <w:spacing w:before="80" w:after="80"/>
      </w:pPr>
    </w:p>
    <w:p>
      <w:pPr>
        <w:shd w:fill="E6F4EA" w:val="clear"/>
        <w:spacing w:before="60" w:after="40"/>
        <w:ind w:left="720"/>
      </w:pPr>
      <w:r>
        <w:rPr>
          <w:rFonts w:ascii="Arial" w:cs="Arial" w:eastAsia="Arial" w:hAnsi="Arial"/>
          <w:color w:val="375623"/>
          <w:sz w:val="22"/>
          <w:szCs w:val="22"/>
        </w:rPr>
        <w:t xml:space="preserve">✓  A protocol reference implementation — deterministic, replayable, canon-locked</w:t>
      </w:r>
    </w:p>
    <w:p>
      <w:pPr>
        <w:shd w:fill="E6F4EA" w:val="clear"/>
        <w:spacing w:before="60" w:after="40"/>
        <w:ind w:left="720"/>
      </w:pPr>
      <w:r>
        <w:rPr>
          <w:rFonts w:ascii="Arial" w:cs="Arial" w:eastAsia="Arial" w:hAnsi="Arial"/>
          <w:color w:val="375623"/>
          <w:sz w:val="22"/>
          <w:szCs w:val="22"/>
        </w:rPr>
        <w:t xml:space="preserve">✓  A production SaaS foundation — configurable, extensible, enterprise-secure</w:t>
      </w:r>
    </w:p>
    <w:p>
      <w:pPr>
        <w:shd w:fill="E6F4EA" w:val="clear"/>
        <w:spacing w:before="60" w:after="40"/>
        <w:ind w:left="720"/>
      </w:pPr>
      <w:r>
        <w:rPr>
          <w:rFonts w:ascii="Arial" w:cs="Arial" w:eastAsia="Arial" w:hAnsi="Arial"/>
          <w:color w:val="375623"/>
          <w:sz w:val="22"/>
          <w:szCs w:val="22"/>
        </w:rPr>
        <w:t xml:space="preserve">✓  Flexible — adaptable to jurisdictions, deployment models, and use cases</w:t>
      </w:r>
    </w:p>
    <w:p>
      <w:pPr>
        <w:spacing w:before="80" w:after="80"/>
      </w:pPr>
    </w:p>
    <w:p>
      <w:pPr>
        <w:spacing w:before="80" w:after="80"/>
      </w:pPr>
      <w:r>
        <w:rPr>
          <w:rFonts w:ascii="Arial" w:cs="Arial" w:eastAsia="Arial" w:hAnsi="Arial"/>
          <w:color w:val="404040"/>
          <w:sz w:val="22"/>
          <w:szCs w:val="22"/>
        </w:rPr>
        <w:t xml:space="preserve">These goals are compatible if and only if flexibility is structured, declared, versioned, reproducible, and governed. This document defines that structure.</w:t>
      </w:r>
    </w:p>
    <w:p>
      <w:pPr>
        <w:shd w:fill="D6E4F0" w:val="clear"/>
        <w:spacing w:before="100" w:after="60"/>
        <w:ind w:left="360" w:right="360"/>
      </w:pPr>
      <w:r>
        <w:rPr>
          <w:rFonts w:ascii="Courier New" w:cs="Courier New" w:eastAsia="Courier New" w:hAnsi="Courier New"/>
          <w:b/>
          <w:bCs/>
          <w:color w:val="1F4E79"/>
          <w:sz w:val="21"/>
          <w:szCs w:val="21"/>
        </w:rPr>
        <w:t xml:space="preserve">AIEP-FC-001  </w:t>
      </w:r>
      <w:r>
        <w:rPr>
          <w:rFonts w:ascii="Arial" w:cs="Arial" w:eastAsia="Arial" w:hAnsi="Arial"/>
          <w:color w:val="404040"/>
          <w:sz w:val="21"/>
          <w:szCs w:val="21"/>
        </w:rPr>
        <w:t xml:space="preserve">Flexibility exists within declared, versioned, reproducible boundaries. Unstructured flexibility is not permitted.</w:t>
      </w:r>
    </w:p>
    <w:p>
      <w:pPr>
        <w:spacing w:before="80" w:after="80"/>
      </w:pPr>
    </w:p>
    <w:p>
      <w:pPr>
        <w:pStyle w:val="Heading1"/>
        <w:pBdr>
          <w:bottom w:val="single" w:color="2E75B6" w:sz="8" w:space="4"/>
        </w:pBdr>
        <w:spacing w:before="360" w:after="120"/>
      </w:pPr>
      <w:r>
        <w:rPr>
          <w:rFonts w:ascii="Arial" w:cs="Arial" w:eastAsia="Arial" w:hAnsi="Arial"/>
          <w:b/>
          <w:bCs/>
          <w:color w:val="1F4E79"/>
          <w:sz w:val="32"/>
          <w:szCs w:val="32"/>
        </w:rPr>
        <w:t xml:space="preserve">§1   Architectural Boundary Doctrine</w:t>
      </w:r>
    </w:p>
    <w:p>
      <w:pPr>
        <w:spacing w:before="80" w:after="80"/>
      </w:pPr>
      <w:r>
        <w:rPr>
          <w:rFonts w:ascii="Arial" w:cs="Arial" w:eastAsia="Arial" w:hAnsi="Arial"/>
          <w:color w:val="404040"/>
          <w:sz w:val="22"/>
          <w:szCs w:val="22"/>
        </w:rPr>
        <w:t xml:space="preserve">GENOME is divided into four constitutional layers. Only Layers 1–3 are flexible. Layer 0 is frozen per version.</w:t>
      </w: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00"/>
        <w:gridCol w:w="2400"/>
        <w:gridCol w:w="2400"/>
        <w:gridCol w:w="3460"/>
      </w:tblGrid>
      <w:tr>
        <w:tc>
          <w:tcPr>
            <w:tcW w:type="dxa" w:w="11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4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24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Flexibility</w:t>
            </w:r>
          </w:p>
        </w:tc>
        <w:tc>
          <w:tcPr>
            <w:tcW w:type="dxa" w:w="346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Governing rule</w:t>
            </w:r>
          </w:p>
        </w:tc>
      </w:tr>
      <w:tr>
        <w:tc>
          <w:tcPr>
            <w:tcW w:type="dxa" w:w="11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Layer 0</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Kernel — Immutable Deterministic Core</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None — frozen</w:t>
            </w:r>
          </w:p>
        </w:tc>
        <w:tc>
          <w:tcPr>
            <w:tcW w:type="dxa" w:w="3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§2</w:t>
            </w:r>
          </w:p>
        </w:tc>
      </w:tr>
      <w:tr>
        <w:tc>
          <w:tcPr>
            <w:tcW w:type="dxa" w:w="11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Layer 1</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Capability — Version-Negotiated</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Versioned + declared</w:t>
            </w:r>
          </w:p>
        </w:tc>
        <w:tc>
          <w:tcPr>
            <w:tcW w:type="dxa" w:w="3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§3</w:t>
            </w:r>
          </w:p>
        </w:tc>
      </w:tr>
      <w:tr>
        <w:tc>
          <w:tcPr>
            <w:tcW w:type="dxa" w:w="11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Layer 2</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Policy — Governed Flexibility</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Artefact-hashed policies</w:t>
            </w:r>
          </w:p>
        </w:tc>
        <w:tc>
          <w:tcPr>
            <w:tcW w:type="dxa" w:w="3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§4</w:t>
            </w:r>
          </w:p>
        </w:tc>
      </w:tr>
      <w:tr>
        <w:tc>
          <w:tcPr>
            <w:tcW w:type="dxa" w:w="11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Layer 3</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Enterprise — Operational Freedom</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Evolves freely within §5</w:t>
            </w:r>
          </w:p>
        </w:tc>
        <w:tc>
          <w:tcPr>
            <w:tcW w:type="dxa" w:w="3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§5</w:t>
            </w:r>
          </w:p>
        </w:tc>
      </w:tr>
    </w:tbl>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§2   Layer 0 — Kernel  (Non-Negotiable)</w:t>
      </w:r>
    </w:p>
    <w:p>
      <w:pPr>
        <w:spacing w:before="80" w:after="80"/>
      </w:pPr>
      <w:r>
        <w:rPr>
          <w:rFonts w:ascii="Arial" w:cs="Arial" w:eastAsia="Arial" w:hAnsi="Arial"/>
          <w:color w:val="404040"/>
          <w:sz w:val="22"/>
          <w:szCs w:val="22"/>
        </w:rPr>
        <w:t xml:space="preserve">The Kernel performs arbitration, validates artefacts, executes negative proof, enforces canonical structure, and produces deterministic outputs. It is hash-locked via LOCKFILE.json.</w:t>
      </w:r>
    </w:p>
    <w:p>
      <w:pPr>
        <w:spacing w:before="80" w:after="80"/>
      </w:pPr>
    </w:p>
    <w:p>
      <w:pPr>
        <w:pStyle w:val="Heading2"/>
        <w:spacing w:before="280" w:after="80"/>
      </w:pPr>
      <w:r>
        <w:rPr>
          <w:rFonts w:ascii="Arial" w:cs="Arial" w:eastAsia="Arial" w:hAnsi="Arial"/>
          <w:b/>
          <w:bCs/>
          <w:color w:val="2E75B6"/>
          <w:sz w:val="26"/>
          <w:szCs w:val="26"/>
        </w:rPr>
        <w:t xml:space="preserve">Kernel MUST</w:t>
      </w:r>
    </w:p>
    <w:p>
      <w:pPr>
        <w:shd w:fill="E6F4EA" w:val="clear"/>
        <w:spacing w:before="60" w:after="40"/>
        <w:ind w:left="720"/>
      </w:pPr>
      <w:r>
        <w:rPr>
          <w:rFonts w:ascii="Arial" w:cs="Arial" w:eastAsia="Arial" w:hAnsi="Arial"/>
          <w:color w:val="375623"/>
          <w:sz w:val="22"/>
          <w:szCs w:val="22"/>
        </w:rPr>
        <w:t xml:space="preserve">✓  Be fully replayable from raw artefact</w:t>
      </w:r>
    </w:p>
    <w:p>
      <w:pPr>
        <w:shd w:fill="E6F4EA" w:val="clear"/>
        <w:spacing w:before="60" w:after="40"/>
        <w:ind w:left="720"/>
      </w:pPr>
      <w:r>
        <w:rPr>
          <w:rFonts w:ascii="Arial" w:cs="Arial" w:eastAsia="Arial" w:hAnsi="Arial"/>
          <w:color w:val="375623"/>
          <w:sz w:val="22"/>
          <w:szCs w:val="22"/>
        </w:rPr>
        <w:t xml:space="preserve">✓  Be hash-locked via kernel/LOCKFILE.json (kernel_bundle_hash)</w:t>
      </w:r>
    </w:p>
    <w:p>
      <w:pPr>
        <w:shd w:fill="E6F4EA" w:val="clear"/>
        <w:spacing w:before="60" w:after="40"/>
        <w:ind w:left="720"/>
      </w:pPr>
      <w:r>
        <w:rPr>
          <w:rFonts w:ascii="Arial" w:cs="Arial" w:eastAsia="Arial" w:hAnsi="Arial"/>
          <w:color w:val="375623"/>
          <w:sz w:val="22"/>
          <w:szCs w:val="22"/>
        </w:rPr>
        <w:t xml:space="preserve">✓  Produce identical outputs for identical inputs (FC §8)</w:t>
      </w:r>
    </w:p>
    <w:p>
      <w:pPr>
        <w:shd w:fill="E6F4EA" w:val="clear"/>
        <w:spacing w:before="60" w:after="40"/>
        <w:ind w:left="720"/>
      </w:pPr>
      <w:r>
        <w:rPr>
          <w:rFonts w:ascii="Arial" w:cs="Arial" w:eastAsia="Arial" w:hAnsi="Arial"/>
          <w:color w:val="375623"/>
          <w:sz w:val="22"/>
          <w:szCs w:val="22"/>
        </w:rPr>
        <w:t xml:space="preserve">✓  Fail closed — CLOSED is a deterministic state, not an exception</w:t>
      </w:r>
    </w:p>
    <w:p>
      <w:pPr>
        <w:spacing w:before="80" w:after="80"/>
      </w:pPr>
    </w:p>
    <w:p>
      <w:pPr>
        <w:pStyle w:val="Heading2"/>
        <w:spacing w:before="280" w:after="80"/>
      </w:pPr>
      <w:r>
        <w:rPr>
          <w:rFonts w:ascii="Arial" w:cs="Arial" w:eastAsia="Arial" w:hAnsi="Arial"/>
          <w:b/>
          <w:bCs/>
          <w:color w:val="2E75B6"/>
          <w:sz w:val="26"/>
          <w:szCs w:val="26"/>
        </w:rPr>
        <w:t xml:space="preserve">Kernel MUST NOT</w:t>
      </w:r>
    </w:p>
    <w:p>
      <w:pPr>
        <w:shd w:fill="FFE6E6" w:val="clear"/>
        <w:spacing w:before="60" w:after="40"/>
        <w:ind w:left="720"/>
      </w:pPr>
      <w:r>
        <w:rPr>
          <w:rFonts w:ascii="Arial" w:cs="Arial" w:eastAsia="Arial" w:hAnsi="Arial"/>
          <w:color w:val="C00000"/>
          <w:sz w:val="22"/>
          <w:szCs w:val="22"/>
        </w:rPr>
        <w:t xml:space="preserve">✗  Contain UI logic</w:t>
      </w:r>
    </w:p>
    <w:p>
      <w:pPr>
        <w:shd w:fill="FFE6E6" w:val="clear"/>
        <w:spacing w:before="60" w:after="40"/>
        <w:ind w:left="720"/>
      </w:pPr>
      <w:r>
        <w:rPr>
          <w:rFonts w:ascii="Arial" w:cs="Arial" w:eastAsia="Arial" w:hAnsi="Arial"/>
          <w:color w:val="C00000"/>
          <w:sz w:val="22"/>
          <w:szCs w:val="22"/>
        </w:rPr>
        <w:t xml:space="preserve">✗  Contain tenancy logic</w:t>
      </w:r>
    </w:p>
    <w:p>
      <w:pPr>
        <w:shd w:fill="FFE6E6" w:val="clear"/>
        <w:spacing w:before="60" w:after="40"/>
        <w:ind w:left="720"/>
      </w:pPr>
      <w:r>
        <w:rPr>
          <w:rFonts w:ascii="Arial" w:cs="Arial" w:eastAsia="Arial" w:hAnsi="Arial"/>
          <w:color w:val="C00000"/>
          <w:sz w:val="22"/>
          <w:szCs w:val="22"/>
        </w:rPr>
        <w:t xml:space="preserve">✗  Contain storage-specific code</w:t>
      </w:r>
    </w:p>
    <w:p>
      <w:pPr>
        <w:shd w:fill="FFE6E6" w:val="clear"/>
        <w:spacing w:before="60" w:after="40"/>
        <w:ind w:left="720"/>
      </w:pPr>
      <w:r>
        <w:rPr>
          <w:rFonts w:ascii="Arial" w:cs="Arial" w:eastAsia="Arial" w:hAnsi="Arial"/>
          <w:color w:val="C00000"/>
          <w:sz w:val="22"/>
          <w:szCs w:val="22"/>
        </w:rPr>
        <w:t xml:space="preserve">✗  Be modified without LOCKFILE_VERSION increment and SDK version increment</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AIEP-FC-002  </w:t>
      </w:r>
      <w:r>
        <w:rPr>
          <w:rFonts w:ascii="Arial" w:cs="Arial" w:eastAsia="Arial" w:hAnsi="Arial"/>
          <w:color w:val="404040"/>
          <w:sz w:val="21"/>
          <w:szCs w:val="21"/>
        </w:rPr>
        <w:t xml:space="preserve">If kernel logic changes → new GENOME version. No exceptions.</w:t>
      </w:r>
    </w:p>
    <w:p>
      <w:pPr>
        <w:spacing w:before="80" w:after="80"/>
      </w:pPr>
    </w:p>
    <w:p>
      <w:pPr>
        <w:pStyle w:val="Heading2"/>
        <w:spacing w:before="280" w:after="80"/>
      </w:pPr>
      <w:r>
        <w:rPr>
          <w:rFonts w:ascii="Arial" w:cs="Arial" w:eastAsia="Arial" w:hAnsi="Arial"/>
          <w:b/>
          <w:bCs/>
          <w:color w:val="2E75B6"/>
          <w:sz w:val="26"/>
          <w:szCs w:val="26"/>
        </w:rPr>
        <w:t xml:space="preserve">Version Fracture Triggers</w:t>
      </w:r>
    </w:p>
    <w:p>
      <w:pPr>
        <w:spacing w:before="80" w:after="80"/>
      </w:pPr>
      <w:r>
        <w:rPr>
          <w:rFonts w:ascii="Arial" w:cs="Arial" w:eastAsia="Arial" w:hAnsi="Arial"/>
          <w:color w:val="404040"/>
          <w:sz w:val="22"/>
          <w:szCs w:val="22"/>
        </w:rPr>
        <w:t xml:space="preserve">The following actions require a new GENOME version (FC §9):</w:t>
      </w:r>
    </w:p>
    <w:p>
      <w:pPr>
        <w:pStyle w:val="ListParagraph"/>
        <w:numPr>
          <w:ilvl w:val="0"/>
          <w:numId w:val="2"/>
        </w:numPr>
        <w:spacing w:before="40" w:after="40"/>
      </w:pPr>
      <w:r>
        <w:rPr>
          <w:rFonts w:ascii="Arial" w:cs="Arial" w:eastAsia="Arial" w:hAnsi="Arial"/>
          <w:color w:val="404040"/>
          <w:sz w:val="22"/>
          <w:szCs w:val="22"/>
        </w:rPr>
        <w:t xml:space="preserve">Change to arbitration logic</w:t>
      </w:r>
    </w:p>
    <w:p>
      <w:pPr>
        <w:pStyle w:val="ListParagraph"/>
        <w:numPr>
          <w:ilvl w:val="0"/>
          <w:numId w:val="2"/>
        </w:numPr>
        <w:spacing w:before="40" w:after="40"/>
      </w:pPr>
      <w:r>
        <w:rPr>
          <w:rFonts w:ascii="Arial" w:cs="Arial" w:eastAsia="Arial" w:hAnsi="Arial"/>
          <w:color w:val="404040"/>
          <w:sz w:val="22"/>
          <w:szCs w:val="22"/>
        </w:rPr>
        <w:t xml:space="preserve">Change to validation algorithm</w:t>
      </w:r>
    </w:p>
    <w:p>
      <w:pPr>
        <w:pStyle w:val="ListParagraph"/>
        <w:numPr>
          <w:ilvl w:val="0"/>
          <w:numId w:val="2"/>
        </w:numPr>
        <w:spacing w:before="40" w:after="40"/>
      </w:pPr>
      <w:r>
        <w:rPr>
          <w:rFonts w:ascii="Arial" w:cs="Arial" w:eastAsia="Arial" w:hAnsi="Arial"/>
          <w:color w:val="404040"/>
          <w:sz w:val="22"/>
          <w:szCs w:val="22"/>
        </w:rPr>
        <w:t xml:space="preserve">Change to negative proof logic</w:t>
      </w:r>
    </w:p>
    <w:p>
      <w:pPr>
        <w:pStyle w:val="ListParagraph"/>
        <w:numPr>
          <w:ilvl w:val="0"/>
          <w:numId w:val="2"/>
        </w:numPr>
        <w:spacing w:before="40" w:after="40"/>
      </w:pPr>
      <w:r>
        <w:rPr>
          <w:rFonts w:ascii="Arial" w:cs="Arial" w:eastAsia="Arial" w:hAnsi="Arial"/>
          <w:color w:val="404040"/>
          <w:sz w:val="22"/>
          <w:szCs w:val="22"/>
        </w:rPr>
        <w:t xml:space="preserve">Change to canonical schema enforcement</w:t>
      </w:r>
    </w:p>
    <w:p>
      <w:pPr>
        <w:pStyle w:val="ListParagraph"/>
        <w:numPr>
          <w:ilvl w:val="0"/>
          <w:numId w:val="2"/>
        </w:numPr>
        <w:spacing w:before="40" w:after="40"/>
      </w:pPr>
      <w:r>
        <w:rPr>
          <w:rFonts w:ascii="Arial" w:cs="Arial" w:eastAsia="Arial" w:hAnsi="Arial"/>
          <w:color w:val="404040"/>
          <w:sz w:val="22"/>
          <w:szCs w:val="22"/>
        </w:rPr>
        <w:t xml:space="preserve">Change to hash algorithm default</w:t>
      </w:r>
    </w:p>
    <w:p>
      <w:pPr>
        <w:pStyle w:val="ListParagraph"/>
        <w:numPr>
          <w:ilvl w:val="0"/>
          <w:numId w:val="2"/>
        </w:numPr>
        <w:spacing w:before="40" w:after="40"/>
      </w:pPr>
      <w:r>
        <w:rPr>
          <w:rFonts w:ascii="Arial" w:cs="Arial" w:eastAsia="Arial" w:hAnsi="Arial"/>
          <w:color w:val="404040"/>
          <w:sz w:val="22"/>
          <w:szCs w:val="22"/>
        </w:rPr>
        <w:t xml:space="preserve">Change to max_active_frontier constant</w:t>
      </w:r>
    </w:p>
    <w:p>
      <w:pPr>
        <w:pStyle w:val="ListParagraph"/>
        <w:numPr>
          <w:ilvl w:val="0"/>
          <w:numId w:val="2"/>
        </w:numPr>
        <w:spacing w:before="40" w:after="40"/>
      </w:pPr>
      <w:r>
        <w:rPr>
          <w:rFonts w:ascii="Arial" w:cs="Arial" w:eastAsia="Arial" w:hAnsi="Arial"/>
          <w:color w:val="404040"/>
          <w:sz w:val="22"/>
          <w:szCs w:val="22"/>
        </w:rPr>
        <w:t xml:space="preserve">Change to invariant definitions I1–I6</w:t>
      </w:r>
    </w:p>
    <w:p>
      <w:pPr>
        <w:spacing w:before="80" w:after="80"/>
      </w:pPr>
    </w:p>
    <w:p>
      <w:pPr>
        <w:pStyle w:val="Heading2"/>
        <w:spacing w:before="280" w:after="80"/>
      </w:pPr>
      <w:r>
        <w:rPr>
          <w:rFonts w:ascii="Arial" w:cs="Arial" w:eastAsia="Arial" w:hAnsi="Arial"/>
          <w:b/>
          <w:bCs/>
          <w:color w:val="2E75B6"/>
          <w:sz w:val="26"/>
          <w:szCs w:val="26"/>
        </w:rPr>
        <w:t xml:space="preserve">Non-Fracture Changes</w:t>
      </w:r>
    </w:p>
    <w:p>
      <w:pPr>
        <w:spacing w:before="80" w:after="80"/>
      </w:pPr>
      <w:r>
        <w:rPr>
          <w:rFonts w:ascii="Arial" w:cs="Arial" w:eastAsia="Arial" w:hAnsi="Arial"/>
          <w:color w:val="404040"/>
          <w:sz w:val="22"/>
          <w:szCs w:val="22"/>
        </w:rPr>
        <w:t xml:space="preserve">The following do NOT require a new version:</w:t>
      </w:r>
    </w:p>
    <w:p>
      <w:pPr>
        <w:shd w:fill="E6F4EA" w:val="clear"/>
        <w:spacing w:before="60" w:after="40"/>
        <w:ind w:left="720"/>
      </w:pPr>
      <w:r>
        <w:rPr>
          <w:rFonts w:ascii="Arial" w:cs="Arial" w:eastAsia="Arial" w:hAnsi="Arial"/>
          <w:color w:val="375623"/>
          <w:sz w:val="22"/>
          <w:szCs w:val="22"/>
        </w:rPr>
        <w:t xml:space="preserve">✓  New adapter implementation (FC §6)</w:t>
      </w:r>
    </w:p>
    <w:p>
      <w:pPr>
        <w:shd w:fill="E6F4EA" w:val="clear"/>
        <w:spacing w:before="60" w:after="40"/>
        <w:ind w:left="720"/>
      </w:pPr>
      <w:r>
        <w:rPr>
          <w:rFonts w:ascii="Arial" w:cs="Arial" w:eastAsia="Arial" w:hAnsi="Arial"/>
          <w:color w:val="375623"/>
          <w:sz w:val="22"/>
          <w:szCs w:val="22"/>
        </w:rPr>
        <w:t xml:space="preserve">✓  New enterprise UI or API gateway</w:t>
      </w:r>
    </w:p>
    <w:p>
      <w:pPr>
        <w:shd w:fill="E6F4EA" w:val="clear"/>
        <w:spacing w:before="60" w:after="40"/>
        <w:ind w:left="720"/>
      </w:pPr>
      <w:r>
        <w:rPr>
          <w:rFonts w:ascii="Arial" w:cs="Arial" w:eastAsia="Arial" w:hAnsi="Arial"/>
          <w:color w:val="375623"/>
          <w:sz w:val="22"/>
          <w:szCs w:val="22"/>
        </w:rPr>
        <w:t xml:space="preserve">✓  New policy file (Layer 2)</w:t>
      </w:r>
    </w:p>
    <w:p>
      <w:pPr>
        <w:shd w:fill="E6F4EA" w:val="clear"/>
        <w:spacing w:before="60" w:after="40"/>
        <w:ind w:left="720"/>
      </w:pPr>
      <w:r>
        <w:rPr>
          <w:rFonts w:ascii="Arial" w:cs="Arial" w:eastAsia="Arial" w:hAnsi="Arial"/>
          <w:color w:val="375623"/>
          <w:sz w:val="22"/>
          <w:szCs w:val="22"/>
        </w:rPr>
        <w:t xml:space="preserve">✓  New mirror visibility rule</w:t>
      </w:r>
    </w:p>
    <w:p>
      <w:pPr>
        <w:shd w:fill="E6F4EA" w:val="clear"/>
        <w:spacing w:before="60" w:after="40"/>
        <w:ind w:left="720"/>
      </w:pPr>
      <w:r>
        <w:rPr>
          <w:rFonts w:ascii="Arial" w:cs="Arial" w:eastAsia="Arial" w:hAnsi="Arial"/>
          <w:color w:val="375623"/>
          <w:sz w:val="22"/>
          <w:szCs w:val="22"/>
        </w:rPr>
        <w:t xml:space="preserve">✓  New deployment infrastructure</w:t>
      </w:r>
    </w:p>
    <w:p>
      <w:pPr>
        <w:shd w:fill="E6F4EA" w:val="clear"/>
        <w:spacing w:before="60" w:after="40"/>
        <w:ind w:left="720"/>
      </w:pPr>
      <w:r>
        <w:rPr>
          <w:rFonts w:ascii="Arial" w:cs="Arial" w:eastAsia="Arial" w:hAnsi="Arial"/>
          <w:color w:val="375623"/>
          <w:sz w:val="22"/>
          <w:szCs w:val="22"/>
        </w:rPr>
        <w:t xml:space="preserve">✓  New capability added to Layer 1 registry</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§3   Layer 1 — Capability Negotiation  (Flexible but Versioned)</w:t>
      </w:r>
    </w:p>
    <w:p>
      <w:pPr>
        <w:spacing w:before="80" w:after="80"/>
      </w:pPr>
      <w:r>
        <w:rPr>
          <w:rFonts w:ascii="Arial" w:cs="Arial" w:eastAsia="Arial" w:hAnsi="Arial"/>
          <w:color w:val="404040"/>
          <w:sz w:val="22"/>
          <w:szCs w:val="22"/>
        </w:rPr>
        <w:t xml:space="preserve">Flexibility enters GENOME via declared capabilities. Capabilities are versioned. Selection is deterministic. Capability selection is stored with the artefact hash. Kernel output remains reproducible under any declared capability set.</w:t>
      </w:r>
    </w:p>
    <w:p>
      <w:pPr>
        <w:spacing w:before="80" w:after="80"/>
      </w:pPr>
    </w:p>
    <w:p>
      <w:pPr>
        <w:pStyle w:val="Heading2"/>
        <w:spacing w:before="280" w:after="80"/>
      </w:pPr>
      <w:r>
        <w:rPr>
          <w:rFonts w:ascii="Arial" w:cs="Arial" w:eastAsia="Arial" w:hAnsi="Arial"/>
          <w:b/>
          <w:bCs/>
          <w:color w:val="2E75B6"/>
          <w:sz w:val="26"/>
          <w:szCs w:val="26"/>
        </w:rPr>
        <w:t xml:space="preserve">Capability Manifest Structure</w:t>
      </w:r>
    </w:p>
    <w:p>
      <w:pPr>
        <w:spacing w:before="80" w:after="80"/>
      </w:pPr>
    </w:p>
    <w:p>
      <w:pPr>
        <w:spacing w:before="40" w:after="40"/>
        <w:ind w:left="720"/>
      </w:pPr>
      <w:r>
        <w:rPr>
          <w:rFonts w:ascii="Courier New" w:cs="Courier New" w:eastAsia="Courier New" w:hAnsi="Courier New"/>
          <w:color w:val="1E1E1E"/>
          <w:sz w:val="19"/>
          <w:szCs w:val="19"/>
        </w:rPr>
        <w:t xml:space="preserve">{"manifest_id": "cap-genome-saas-v1",</w:t>
      </w:r>
    </w:p>
    <w:p>
      <w:pPr>
        <w:spacing w:before="40" w:after="40"/>
        <w:ind w:left="720"/>
      </w:pPr>
      <w:r>
        <w:rPr>
          <w:rFonts w:ascii="Courier New" w:cs="Courier New" w:eastAsia="Courier New" w:hAnsi="Courier New"/>
          <w:color w:val="1E1E1E"/>
          <w:sz w:val="19"/>
          <w:szCs w:val="19"/>
        </w:rPr>
        <w:t xml:space="preserve"> "lockfile_version": "1.0.0",</w:t>
      </w:r>
    </w:p>
    <w:p>
      <w:pPr>
        <w:spacing w:before="40" w:after="40"/>
        <w:ind w:left="720"/>
      </w:pPr>
      <w:r>
        <w:rPr>
          <w:rFonts w:ascii="Courier New" w:cs="Courier New" w:eastAsia="Courier New" w:hAnsi="Courier New"/>
          <w:color w:val="1E1E1E"/>
          <w:sz w:val="19"/>
          <w:szCs w:val="19"/>
        </w:rPr>
        <w:t xml:space="preserve"> "flexibility_contract_version": "1.0.0",</w:t>
      </w:r>
    </w:p>
    <w:p>
      <w:pPr>
        <w:spacing w:before="40" w:after="40"/>
        <w:ind w:left="720"/>
      </w:pPr>
      <w:r>
        <w:rPr>
          <w:rFonts w:ascii="Courier New" w:cs="Courier New" w:eastAsia="Courier New" w:hAnsi="Courier New"/>
          <w:color w:val="1E1E1E"/>
          <w:sz w:val="19"/>
          <w:szCs w:val="19"/>
        </w:rPr>
        <w:t xml:space="preserve"> "hash_algorithms": ["sha256.v1"],</w:t>
      </w:r>
    </w:p>
    <w:p>
      <w:pPr>
        <w:spacing w:before="40" w:after="40"/>
        <w:ind w:left="720"/>
      </w:pPr>
      <w:r>
        <w:rPr>
          <w:rFonts w:ascii="Courier New" w:cs="Courier New" w:eastAsia="Courier New" w:hAnsi="Courier New"/>
          <w:color w:val="1E1E1E"/>
          <w:sz w:val="19"/>
          <w:szCs w:val="19"/>
        </w:rPr>
        <w:t xml:space="preserve"> "proof_types": ["negative_proof.v1", "replay_pack.v1"],</w:t>
      </w:r>
    </w:p>
    <w:p>
      <w:pPr>
        <w:spacing w:before="40" w:after="40"/>
        <w:ind w:left="720"/>
      </w:pPr>
      <w:r>
        <w:rPr>
          <w:rFonts w:ascii="Courier New" w:cs="Courier New" w:eastAsia="Courier New" w:hAnsi="Courier New"/>
          <w:color w:val="1E1E1E"/>
          <w:sz w:val="19"/>
          <w:szCs w:val="19"/>
        </w:rPr>
        <w:t xml:space="preserve"> "mirror_modes": ["private.v1"],</w:t>
      </w:r>
    </w:p>
    <w:p>
      <w:pPr>
        <w:spacing w:before="40" w:after="40"/>
        <w:ind w:left="720"/>
      </w:pPr>
      <w:r>
        <w:rPr>
          <w:rFonts w:ascii="Courier New" w:cs="Courier New" w:eastAsia="Courier New" w:hAnsi="Courier New"/>
          <w:color w:val="1E1E1E"/>
          <w:sz w:val="19"/>
          <w:szCs w:val="19"/>
        </w:rPr>
        <w:t xml:space="preserve"> "policy_engine": ["default.v1"],</w:t>
      </w:r>
    </w:p>
    <w:p>
      <w:pPr>
        <w:spacing w:before="40" w:after="40"/>
        <w:ind w:left="720"/>
      </w:pPr>
      <w:r>
        <w:rPr>
          <w:rFonts w:ascii="Courier New" w:cs="Courier New" w:eastAsia="Courier New" w:hAnsi="Courier New"/>
          <w:color w:val="1E1E1E"/>
          <w:sz w:val="19"/>
          <w:szCs w:val="19"/>
        </w:rPr>
        <w:t xml:space="preserve"> "declared_at": "2026-02-27T00:00:00Z",</w:t>
      </w:r>
    </w:p>
    <w:p>
      <w:pPr>
        <w:spacing w:before="40" w:after="40"/>
        <w:ind w:left="720"/>
      </w:pPr>
      <w:r>
        <w:rPr>
          <w:rFonts w:ascii="Courier New" w:cs="Courier New" w:eastAsia="Courier New" w:hAnsi="Courier New"/>
          <w:color w:val="1E1E1E"/>
          <w:sz w:val="19"/>
          <w:szCs w:val="19"/>
        </w:rPr>
        <w:t xml:space="preserve"> "capability_hash": "&lt;sha256(canonical_json(manifest_core))&gt;"}</w:t>
      </w:r>
    </w:p>
    <w:p>
      <w:pPr>
        <w:spacing w:before="80" w:after="80"/>
      </w:pPr>
    </w:p>
    <w:p>
      <w:pPr>
        <w:pStyle w:val="Heading2"/>
        <w:spacing w:before="280" w:after="80"/>
      </w:pPr>
      <w:r>
        <w:rPr>
          <w:rFonts w:ascii="Arial" w:cs="Arial" w:eastAsia="Arial" w:hAnsi="Arial"/>
          <w:b/>
          <w:bCs/>
          <w:color w:val="2E75B6"/>
          <w:sz w:val="26"/>
          <w:szCs w:val="26"/>
        </w:rPr>
        <w:t xml:space="preserve">Capability Rules</w:t>
      </w:r>
    </w:p>
    <w:p>
      <w:pPr>
        <w:pStyle w:val="ListParagraph"/>
        <w:numPr>
          <w:ilvl w:val="0"/>
          <w:numId w:val="2"/>
        </w:numPr>
        <w:spacing w:before="40" w:after="40"/>
      </w:pPr>
      <w:r>
        <w:rPr>
          <w:rFonts w:ascii="Arial" w:cs="Arial" w:eastAsia="Arial" w:hAnsi="Arial"/>
          <w:color w:val="404040"/>
          <w:sz w:val="22"/>
          <w:szCs w:val="22"/>
        </w:rPr>
        <w:t xml:space="preserve">Capabilities are versioned — e.g. sha256.v1, not sha256</w:t>
      </w:r>
    </w:p>
    <w:p>
      <w:pPr>
        <w:pStyle w:val="ListParagraph"/>
        <w:numPr>
          <w:ilvl w:val="0"/>
          <w:numId w:val="2"/>
        </w:numPr>
        <w:spacing w:before="40" w:after="40"/>
      </w:pPr>
      <w:r>
        <w:rPr>
          <w:rFonts w:ascii="Arial" w:cs="Arial" w:eastAsia="Arial" w:hAnsi="Arial"/>
          <w:color w:val="404040"/>
          <w:sz w:val="22"/>
          <w:szCs w:val="22"/>
        </w:rPr>
        <w:t xml:space="preserve">Selection is deterministic — first entry in each array is the active default</w:t>
      </w:r>
    </w:p>
    <w:p>
      <w:pPr>
        <w:pStyle w:val="ListParagraph"/>
        <w:numPr>
          <w:ilvl w:val="0"/>
          <w:numId w:val="2"/>
        </w:numPr>
        <w:spacing w:before="40" w:after="40"/>
      </w:pPr>
      <w:r>
        <w:rPr>
          <w:rFonts w:ascii="Arial" w:cs="Arial" w:eastAsia="Arial" w:hAnsi="Arial"/>
          <w:color w:val="404040"/>
          <w:sz w:val="22"/>
          <w:szCs w:val="22"/>
        </w:rPr>
        <w:t xml:space="preserve">capability_hash is stored with every artefact produced under this set</w:t>
      </w:r>
    </w:p>
    <w:p>
      <w:pPr>
        <w:pStyle w:val="ListParagraph"/>
        <w:numPr>
          <w:ilvl w:val="0"/>
          <w:numId w:val="2"/>
        </w:numPr>
        <w:spacing w:before="40" w:after="40"/>
      </w:pPr>
      <w:r>
        <w:rPr>
          <w:rFonts w:ascii="Arial" w:cs="Arial" w:eastAsia="Arial" w:hAnsi="Arial"/>
          <w:color w:val="404040"/>
          <w:sz w:val="22"/>
          <w:szCs w:val="22"/>
        </w:rPr>
        <w:t xml:space="preserve">Kernel output remains reproducible under declared capability set</w:t>
      </w:r>
    </w:p>
    <w:p>
      <w:pPr>
        <w:pStyle w:val="ListParagraph"/>
        <w:numPr>
          <w:ilvl w:val="0"/>
          <w:numId w:val="2"/>
        </w:numPr>
        <w:spacing w:before="40" w:after="40"/>
      </w:pPr>
      <w:r>
        <w:rPr>
          <w:rFonts w:ascii="Arial" w:cs="Arial" w:eastAsia="Arial" w:hAnsi="Arial"/>
          <w:color w:val="404040"/>
          <w:sz w:val="22"/>
          <w:szCs w:val="22"/>
        </w:rPr>
        <w:t xml:space="preserve">Capability expansion is allowed — new capabilities added to registry, no fracture</w:t>
      </w:r>
    </w:p>
    <w:p>
      <w:pPr>
        <w:pStyle w:val="ListParagraph"/>
        <w:numPr>
          <w:ilvl w:val="0"/>
          <w:numId w:val="2"/>
        </w:numPr>
        <w:spacing w:before="40" w:after="40"/>
      </w:pPr>
      <w:r>
        <w:rPr>
          <w:rFonts w:ascii="Arial" w:cs="Arial" w:eastAsia="Arial" w:hAnsi="Arial"/>
          <w:color w:val="404040"/>
          <w:sz w:val="22"/>
          <w:szCs w:val="22"/>
        </w:rPr>
        <w:t xml:space="preserve">Silent override is forbidden — undeclared capability use is a constitutional violation</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AIEP-FC-003  </w:t>
      </w:r>
      <w:r>
        <w:rPr>
          <w:rFonts w:ascii="Arial" w:cs="Arial" w:eastAsia="Arial" w:hAnsi="Arial"/>
          <w:color w:val="404040"/>
          <w:sz w:val="21"/>
          <w:szCs w:val="21"/>
        </w:rPr>
        <w:t xml:space="preserve">capability_hash = sha256(canonical_json(manifest_core)). Must be stored with every artefact. Third parties can verify exactly what capabilities produced any artefact.</w:t>
      </w:r>
    </w:p>
    <w:p>
      <w:pPr>
        <w:spacing w:before="80" w:after="80"/>
      </w:pPr>
    </w:p>
    <w:p>
      <w:pPr>
        <w:pStyle w:val="Heading2"/>
        <w:spacing w:before="280" w:after="80"/>
      </w:pPr>
      <w:r>
        <w:rPr>
          <w:rFonts w:ascii="Arial" w:cs="Arial" w:eastAsia="Arial" w:hAnsi="Arial"/>
          <w:b/>
          <w:bCs/>
          <w:color w:val="2E75B6"/>
          <w:sz w:val="26"/>
          <w:szCs w:val="26"/>
        </w:rPr>
        <w:t xml:space="preserve">Capability Reference Hashes</w:t>
      </w:r>
    </w:p>
    <w:p>
      <w:pPr>
        <w:spacing w:before="80" w:after="80"/>
      </w:pPr>
      <w:r>
        <w:rPr>
          <w:rFonts w:ascii="Arial" w:cs="Arial" w:eastAsia="Arial" w:hAnsi="Arial"/>
          <w:color w:val="404040"/>
          <w:sz w:val="22"/>
          <w:szCs w:val="22"/>
        </w:rPr>
        <w:t xml:space="preserve">From the governance_trace_v1 reference run (examples/governance_trace_v1/):</w:t>
      </w: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Capability set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cap-governance-trace-v1</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capability_hash</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80b0a0ee9254de1694acb33b46d7e7a5d279ee68bf29cab67fa757d81b13dd3c</w:t>
            </w:r>
          </w:p>
        </w:tc>
      </w:tr>
    </w:tbl>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§4   Layer 2 — Policy Layer  (Primary Flexibility Engine)</w:t>
      </w:r>
    </w:p>
    <w:p>
      <w:pPr>
        <w:spacing w:before="80" w:after="80"/>
      </w:pPr>
      <w:r>
        <w:rPr>
          <w:rFonts w:ascii="Arial" w:cs="Arial" w:eastAsia="Arial" w:hAnsi="Arial"/>
          <w:color w:val="404040"/>
          <w:sz w:val="22"/>
          <w:szCs w:val="22"/>
        </w:rPr>
        <w:t xml:space="preserve">Most product variation occurs at the Policy layer. Policies are artefacts. Policies are hashed. Policy version is stored with arbitration output. Policy evaluation must be deterministic. Policy changes do not change protocol — they change behaviour within protocol bounds.</w:t>
      </w:r>
    </w:p>
    <w:p>
      <w:pPr>
        <w:spacing w:before="80" w:after="80"/>
      </w:pPr>
    </w:p>
    <w:p>
      <w:pPr>
        <w:pStyle w:val="Heading2"/>
        <w:spacing w:before="280" w:after="80"/>
      </w:pPr>
      <w:r>
        <w:rPr>
          <w:rFonts w:ascii="Arial" w:cs="Arial" w:eastAsia="Arial" w:hAnsi="Arial"/>
          <w:b/>
          <w:bCs/>
          <w:color w:val="2E75B6"/>
          <w:sz w:val="26"/>
          <w:szCs w:val="26"/>
        </w:rPr>
        <w:t xml:space="preserve">What Policies May Govern</w:t>
      </w:r>
    </w:p>
    <w:p>
      <w:pPr>
        <w:pStyle w:val="ListParagraph"/>
        <w:numPr>
          <w:ilvl w:val="0"/>
          <w:numId w:val="2"/>
        </w:numPr>
        <w:spacing w:before="40" w:after="40"/>
      </w:pPr>
      <w:r>
        <w:rPr>
          <w:rFonts w:ascii="Arial" w:cs="Arial" w:eastAsia="Arial" w:hAnsi="Arial"/>
          <w:color w:val="404040"/>
          <w:sz w:val="22"/>
          <w:szCs w:val="22"/>
        </w:rPr>
        <w:t xml:space="preserve">Mirror visibility — public / private / selective per URL prefix</w:t>
      </w:r>
    </w:p>
    <w:p>
      <w:pPr>
        <w:pStyle w:val="ListParagraph"/>
        <w:numPr>
          <w:ilvl w:val="0"/>
          <w:numId w:val="2"/>
        </w:numPr>
        <w:spacing w:before="40" w:after="40"/>
      </w:pPr>
      <w:r>
        <w:rPr>
          <w:rFonts w:ascii="Arial" w:cs="Arial" w:eastAsia="Arial" w:hAnsi="Arial"/>
          <w:color w:val="404040"/>
          <w:sz w:val="22"/>
          <w:szCs w:val="22"/>
        </w:rPr>
        <w:t xml:space="preserve">Submission rights — who may submit artefacts</w:t>
      </w:r>
    </w:p>
    <w:p>
      <w:pPr>
        <w:pStyle w:val="ListParagraph"/>
        <w:numPr>
          <w:ilvl w:val="0"/>
          <w:numId w:val="2"/>
        </w:numPr>
        <w:spacing w:before="40" w:after="40"/>
      </w:pPr>
      <w:r>
        <w:rPr>
          <w:rFonts w:ascii="Arial" w:cs="Arial" w:eastAsia="Arial" w:hAnsi="Arial"/>
          <w:color w:val="404040"/>
          <w:sz w:val="22"/>
          <w:szCs w:val="22"/>
        </w:rPr>
        <w:t xml:space="preserve">Arbitration mode — majority, unanimous, any-dissent-escalates</w:t>
      </w:r>
    </w:p>
    <w:p>
      <w:pPr>
        <w:pStyle w:val="ListParagraph"/>
        <w:numPr>
          <w:ilvl w:val="0"/>
          <w:numId w:val="2"/>
        </w:numPr>
        <w:spacing w:before="40" w:after="40"/>
      </w:pPr>
      <w:r>
        <w:rPr>
          <w:rFonts w:ascii="Arial" w:cs="Arial" w:eastAsia="Arial" w:hAnsi="Arial"/>
          <w:color w:val="404040"/>
          <w:sz w:val="22"/>
          <w:szCs w:val="22"/>
        </w:rPr>
        <w:t xml:space="preserve">Retention rules — retention period, expiry policy</w:t>
      </w:r>
    </w:p>
    <w:p>
      <w:pPr>
        <w:pStyle w:val="ListParagraph"/>
        <w:numPr>
          <w:ilvl w:val="0"/>
          <w:numId w:val="2"/>
        </w:numPr>
        <w:spacing w:before="40" w:after="40"/>
      </w:pPr>
      <w:r>
        <w:rPr>
          <w:rFonts w:ascii="Arial" w:cs="Arial" w:eastAsia="Arial" w:hAnsi="Arial"/>
          <w:color w:val="404040"/>
          <w:sz w:val="22"/>
          <w:szCs w:val="22"/>
        </w:rPr>
        <w:t xml:space="preserve">Dissent thresholds — threshold for blocking vs escalation</w:t>
      </w:r>
    </w:p>
    <w:p>
      <w:pPr>
        <w:pStyle w:val="ListParagraph"/>
        <w:numPr>
          <w:ilvl w:val="0"/>
          <w:numId w:val="2"/>
        </w:numPr>
        <w:spacing w:before="40" w:after="40"/>
      </w:pPr>
      <w:r>
        <w:rPr>
          <w:rFonts w:ascii="Arial" w:cs="Arial" w:eastAsia="Arial" w:hAnsi="Arial"/>
          <w:color w:val="404040"/>
          <w:sz w:val="22"/>
          <w:szCs w:val="22"/>
        </w:rPr>
        <w:t xml:space="preserve">Audit export formats — aiep.audit.v1 or custom</w:t>
      </w:r>
    </w:p>
    <w:p>
      <w:pPr>
        <w:spacing w:before="80" w:after="80"/>
      </w:pPr>
    </w:p>
    <w:p>
      <w:pPr>
        <w:pStyle w:val="Heading2"/>
        <w:spacing w:before="280" w:after="80"/>
      </w:pPr>
      <w:r>
        <w:rPr>
          <w:rFonts w:ascii="Arial" w:cs="Arial" w:eastAsia="Arial" w:hAnsi="Arial"/>
          <w:b/>
          <w:bCs/>
          <w:color w:val="2E75B6"/>
          <w:sz w:val="26"/>
          <w:szCs w:val="26"/>
        </w:rPr>
        <w:t xml:space="preserve">Policy Rules</w:t>
      </w:r>
    </w:p>
    <w:p>
      <w:pPr>
        <w:shd w:fill="E6F4EA" w:val="clear"/>
        <w:spacing w:before="60" w:after="40"/>
        <w:ind w:left="720"/>
      </w:pPr>
      <w:r>
        <w:rPr>
          <w:rFonts w:ascii="Arial" w:cs="Arial" w:eastAsia="Arial" w:hAnsi="Arial"/>
          <w:color w:val="375623"/>
          <w:sz w:val="22"/>
          <w:szCs w:val="22"/>
        </w:rPr>
        <w:t xml:space="preserve">✓  Policies are artefacts (stored, versioned, retrievable)</w:t>
      </w:r>
    </w:p>
    <w:p>
      <w:pPr>
        <w:shd w:fill="E6F4EA" w:val="clear"/>
        <w:spacing w:before="60" w:after="40"/>
        <w:ind w:left="720"/>
      </w:pPr>
      <w:r>
        <w:rPr>
          <w:rFonts w:ascii="Arial" w:cs="Arial" w:eastAsia="Arial" w:hAnsi="Arial"/>
          <w:color w:val="375623"/>
          <w:sz w:val="22"/>
          <w:szCs w:val="22"/>
        </w:rPr>
        <w:t xml:space="preserve">✓  Policies are hashed — policy_hash = sha256(canonical_json(policy_core))</w:t>
      </w:r>
    </w:p>
    <w:p>
      <w:pPr>
        <w:shd w:fill="E6F4EA" w:val="clear"/>
        <w:spacing w:before="60" w:after="40"/>
        <w:ind w:left="720"/>
      </w:pPr>
      <w:r>
        <w:rPr>
          <w:rFonts w:ascii="Arial" w:cs="Arial" w:eastAsia="Arial" w:hAnsi="Arial"/>
          <w:color w:val="375623"/>
          <w:sz w:val="22"/>
          <w:szCs w:val="22"/>
        </w:rPr>
        <w:t xml:space="preserve">✓  Policy version is stored with arbitration output</w:t>
      </w:r>
    </w:p>
    <w:p>
      <w:pPr>
        <w:shd w:fill="E6F4EA" w:val="clear"/>
        <w:spacing w:before="60" w:after="40"/>
        <w:ind w:left="720"/>
      </w:pPr>
      <w:r>
        <w:rPr>
          <w:rFonts w:ascii="Arial" w:cs="Arial" w:eastAsia="Arial" w:hAnsi="Arial"/>
          <w:color w:val="375623"/>
          <w:sz w:val="22"/>
          <w:szCs w:val="22"/>
        </w:rPr>
        <w:t xml:space="preserve">✓  Policy evaluation is deterministic for identical input</w:t>
      </w:r>
    </w:p>
    <w:p>
      <w:pPr>
        <w:spacing w:before="80" w:after="80"/>
      </w:pPr>
    </w:p>
    <w:p>
      <w:pPr>
        <w:shd w:fill="FFE6E6" w:val="clear"/>
        <w:spacing w:before="60" w:after="40"/>
        <w:ind w:left="720"/>
      </w:pPr>
      <w:r>
        <w:rPr>
          <w:rFonts w:ascii="Arial" w:cs="Arial" w:eastAsia="Arial" w:hAnsi="Arial"/>
          <w:color w:val="C00000"/>
          <w:sz w:val="22"/>
          <w:szCs w:val="22"/>
        </w:rPr>
        <w:t xml:space="preserve">✗  Policies may not modify kernel arbitration logic</w:t>
      </w:r>
    </w:p>
    <w:p>
      <w:pPr>
        <w:shd w:fill="FFE6E6" w:val="clear"/>
        <w:spacing w:before="60" w:after="40"/>
        <w:ind w:left="720"/>
      </w:pPr>
      <w:r>
        <w:rPr>
          <w:rFonts w:ascii="Arial" w:cs="Arial" w:eastAsia="Arial" w:hAnsi="Arial"/>
          <w:color w:val="C00000"/>
          <w:sz w:val="22"/>
          <w:szCs w:val="22"/>
        </w:rPr>
        <w:t xml:space="preserve">✗  Policies may not override invariant evaluation</w:t>
      </w:r>
    </w:p>
    <w:p>
      <w:pPr>
        <w:shd w:fill="FFE6E6" w:val="clear"/>
        <w:spacing w:before="60" w:after="40"/>
        <w:ind w:left="720"/>
      </w:pPr>
      <w:r>
        <w:rPr>
          <w:rFonts w:ascii="Arial" w:cs="Arial" w:eastAsia="Arial" w:hAnsi="Arial"/>
          <w:color w:val="C00000"/>
          <w:sz w:val="22"/>
          <w:szCs w:val="22"/>
        </w:rPr>
        <w:t xml:space="preserve">✗  Policies may not inject alternative hash algorithms</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AIEP-FC-004  </w:t>
      </w:r>
      <w:r>
        <w:rPr>
          <w:rFonts w:ascii="Arial" w:cs="Arial" w:eastAsia="Arial" w:hAnsi="Arial"/>
          <w:color w:val="404040"/>
          <w:sz w:val="21"/>
          <w:szCs w:val="21"/>
        </w:rPr>
        <w:t xml:space="preserve">policy_hash must be stored alongside every arbitration output. Third parties can verify exactly which policy governed any decision.</w:t>
      </w:r>
    </w:p>
    <w:p>
      <w:pPr>
        <w:spacing w:before="80" w:after="80"/>
      </w:pPr>
    </w:p>
    <w:p>
      <w:pPr>
        <w:pStyle w:val="Heading2"/>
        <w:spacing w:before="280" w:after="80"/>
      </w:pPr>
      <w:r>
        <w:rPr>
          <w:rFonts w:ascii="Arial" w:cs="Arial" w:eastAsia="Arial" w:hAnsi="Arial"/>
          <w:b/>
          <w:bCs/>
          <w:color w:val="2E75B6"/>
          <w:sz w:val="26"/>
          <w:szCs w:val="26"/>
        </w:rPr>
        <w:t xml:space="preserve">Policy Reference Hash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Policy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policy-construction-001</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policy_hash</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d326f997a85041af0c15f1caeea44d0a9d63f4418699c6298255e3c040ebc3ca</w:t>
            </w:r>
          </w:p>
        </w:tc>
      </w:tr>
    </w:tbl>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§5   Layer 3 — Enterprise Layer  (Operational Freedom)</w:t>
      </w:r>
    </w:p>
    <w:p>
      <w:pPr>
        <w:spacing w:before="80" w:after="80"/>
      </w:pPr>
      <w:r>
        <w:rPr>
          <w:rFonts w:ascii="Arial" w:cs="Arial" w:eastAsia="Arial" w:hAnsi="Arial"/>
          <w:color w:val="404040"/>
          <w:sz w:val="22"/>
          <w:szCs w:val="22"/>
        </w:rPr>
        <w:t xml:space="preserve">The Enterprise layer may evolve freely. It is the userland to the kernel. It has full access to kernel APIs but zero ability to modify kernel behaviour. This is identical to the Linux kernel/userland separation.</w:t>
      </w:r>
    </w:p>
    <w:p>
      <w:pPr>
        <w:spacing w:before="80" w:after="80"/>
      </w:pPr>
    </w:p>
    <w:p>
      <w:pPr>
        <w:pStyle w:val="Heading2"/>
        <w:spacing w:before="280" w:after="80"/>
      </w:pPr>
      <w:r>
        <w:rPr>
          <w:rFonts w:ascii="Arial" w:cs="Arial" w:eastAsia="Arial" w:hAnsi="Arial"/>
          <w:b/>
          <w:bCs/>
          <w:color w:val="2E75B6"/>
          <w:sz w:val="26"/>
          <w:szCs w:val="26"/>
        </w:rPr>
        <w:t xml:space="preserve">What Enterprise May Include</w:t>
      </w:r>
    </w:p>
    <w:p>
      <w:pPr>
        <w:shd w:fill="E6F4EA" w:val="clear"/>
        <w:spacing w:before="60" w:after="40"/>
        <w:ind w:left="720"/>
      </w:pPr>
      <w:r>
        <w:rPr>
          <w:rFonts w:ascii="Arial" w:cs="Arial" w:eastAsia="Arial" w:hAnsi="Arial"/>
          <w:color w:val="375623"/>
          <w:sz w:val="22"/>
          <w:szCs w:val="22"/>
        </w:rPr>
        <w:t xml:space="preserve">✓  Authentication providers (JWT, OAuth2, SAML, API key)</w:t>
      </w:r>
    </w:p>
    <w:p>
      <w:pPr>
        <w:shd w:fill="E6F4EA" w:val="clear"/>
        <w:spacing w:before="60" w:after="40"/>
        <w:ind w:left="720"/>
      </w:pPr>
      <w:r>
        <w:rPr>
          <w:rFonts w:ascii="Arial" w:cs="Arial" w:eastAsia="Arial" w:hAnsi="Arial"/>
          <w:color w:val="375623"/>
          <w:sz w:val="22"/>
          <w:szCs w:val="22"/>
        </w:rPr>
        <w:t xml:space="preserve">✓  Multi-tenancy and billing</w:t>
      </w:r>
    </w:p>
    <w:p>
      <w:pPr>
        <w:shd w:fill="E6F4EA" w:val="clear"/>
        <w:spacing w:before="60" w:after="40"/>
        <w:ind w:left="720"/>
      </w:pPr>
      <w:r>
        <w:rPr>
          <w:rFonts w:ascii="Arial" w:cs="Arial" w:eastAsia="Arial" w:hAnsi="Arial"/>
          <w:color w:val="375623"/>
          <w:sz w:val="22"/>
          <w:szCs w:val="22"/>
        </w:rPr>
        <w:t xml:space="preserve">✓  UI/UX and application front-ends</w:t>
      </w:r>
    </w:p>
    <w:p>
      <w:pPr>
        <w:shd w:fill="E6F4EA" w:val="clear"/>
        <w:spacing w:before="60" w:after="40"/>
        <w:ind w:left="720"/>
      </w:pPr>
      <w:r>
        <w:rPr>
          <w:rFonts w:ascii="Arial" w:cs="Arial" w:eastAsia="Arial" w:hAnsi="Arial"/>
          <w:color w:val="375623"/>
          <w:sz w:val="22"/>
          <w:szCs w:val="22"/>
        </w:rPr>
        <w:t xml:space="preserve">✓  API gateways</w:t>
      </w:r>
    </w:p>
    <w:p>
      <w:pPr>
        <w:shd w:fill="E6F4EA" w:val="clear"/>
        <w:spacing w:before="60" w:after="40"/>
        <w:ind w:left="720"/>
      </w:pPr>
      <w:r>
        <w:rPr>
          <w:rFonts w:ascii="Arial" w:cs="Arial" w:eastAsia="Arial" w:hAnsi="Arial"/>
          <w:color w:val="375623"/>
          <w:sz w:val="22"/>
          <w:szCs w:val="22"/>
        </w:rPr>
        <w:t xml:space="preserve">✓  Storage adapters (sqlite, postgres, S3, custom)</w:t>
      </w:r>
    </w:p>
    <w:p>
      <w:pPr>
        <w:shd w:fill="E6F4EA" w:val="clear"/>
        <w:spacing w:before="60" w:after="40"/>
        <w:ind w:left="720"/>
      </w:pPr>
      <w:r>
        <w:rPr>
          <w:rFonts w:ascii="Arial" w:cs="Arial" w:eastAsia="Arial" w:hAnsi="Arial"/>
          <w:color w:val="375623"/>
          <w:sz w:val="22"/>
          <w:szCs w:val="22"/>
        </w:rPr>
        <w:t xml:space="preserve">✓  Deployment models (on-prem, cloud, hybrid)</w:t>
      </w:r>
    </w:p>
    <w:p>
      <w:pPr>
        <w:spacing w:before="80" w:after="80"/>
      </w:pPr>
    </w:p>
    <w:p>
      <w:pPr>
        <w:pStyle w:val="Heading2"/>
        <w:spacing w:before="280" w:after="80"/>
      </w:pPr>
      <w:r>
        <w:rPr>
          <w:rFonts w:ascii="Arial" w:cs="Arial" w:eastAsia="Arial" w:hAnsi="Arial"/>
          <w:b/>
          <w:bCs/>
          <w:color w:val="2E75B6"/>
          <w:sz w:val="26"/>
          <w:szCs w:val="26"/>
        </w:rPr>
        <w:t xml:space="preserve">Strict Enterprise Prohibitions</w:t>
      </w:r>
    </w:p>
    <w:p>
      <w:pPr>
        <w:shd w:fill="FFE6E6" w:val="clear"/>
        <w:spacing w:before="60" w:after="40"/>
        <w:ind w:left="720"/>
      </w:pPr>
      <w:r>
        <w:rPr>
          <w:rFonts w:ascii="Arial" w:cs="Arial" w:eastAsia="Arial" w:hAnsi="Arial"/>
          <w:color w:val="C00000"/>
          <w:sz w:val="22"/>
          <w:szCs w:val="22"/>
        </w:rPr>
        <w:t xml:space="preserve">✗  Enterprise layer must not influence arbitration logic directly</w:t>
      </w:r>
    </w:p>
    <w:p>
      <w:pPr>
        <w:shd w:fill="FFE6E6" w:val="clear"/>
        <w:spacing w:before="60" w:after="40"/>
        <w:ind w:left="720"/>
      </w:pPr>
      <w:r>
        <w:rPr>
          <w:rFonts w:ascii="Arial" w:cs="Arial" w:eastAsia="Arial" w:hAnsi="Arial"/>
          <w:color w:val="C00000"/>
          <w:sz w:val="22"/>
          <w:szCs w:val="22"/>
        </w:rPr>
        <w:t xml:space="preserve">✗  All kernel interactions must pass through declared adapter interfaces (FC §6)</w:t>
      </w:r>
    </w:p>
    <w:p>
      <w:pPr>
        <w:shd w:fill="FFE6E6" w:val="clear"/>
        <w:spacing w:before="60" w:after="40"/>
        <w:ind w:left="720"/>
      </w:pPr>
      <w:r>
        <w:rPr>
          <w:rFonts w:ascii="Arial" w:cs="Arial" w:eastAsia="Arial" w:hAnsi="Arial"/>
          <w:color w:val="C00000"/>
          <w:sz w:val="22"/>
          <w:szCs w:val="22"/>
        </w:rPr>
        <w:t xml:space="preserve">✗  Enterprise config may never modify kernel/LOCKFILE.json fields</w:t>
      </w:r>
    </w:p>
    <w:p>
      <w:pPr>
        <w:shd w:fill="FFE6E6" w:val="clear"/>
        <w:spacing w:before="60" w:after="40"/>
        <w:ind w:left="720"/>
      </w:pPr>
      <w:r>
        <w:rPr>
          <w:rFonts w:ascii="Arial" w:cs="Arial" w:eastAsia="Arial" w:hAnsi="Arial"/>
          <w:color w:val="C00000"/>
          <w:sz w:val="22"/>
          <w:szCs w:val="22"/>
        </w:rPr>
        <w:t xml:space="preserve">✗  Enterprise config may never change hash algorithm, key ordering, or invariants</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§6   Adapter Doctrine  (Controlled Extensibility)</w:t>
      </w:r>
    </w:p>
    <w:p>
      <w:pPr>
        <w:spacing w:before="80" w:after="80"/>
      </w:pPr>
      <w:r>
        <w:rPr>
          <w:rFonts w:ascii="Arial" w:cs="Arial" w:eastAsia="Arial" w:hAnsi="Arial"/>
          <w:color w:val="404040"/>
          <w:sz w:val="22"/>
          <w:szCs w:val="22"/>
        </w:rPr>
        <w:t xml:space="preserve">Adapters provide controlled flexibility at the infrastructure boundary. They change WHERE things go and HOW they are transported. They never change WHAT is true or HOW truth is computed.</w:t>
      </w:r>
    </w:p>
    <w:p>
      <w:pPr>
        <w:spacing w:before="80" w:after="80"/>
      </w:pPr>
    </w:p>
    <w:p>
      <w:pPr>
        <w:pStyle w:val="Heading2"/>
        <w:spacing w:before="280" w:after="80"/>
      </w:pPr>
      <w:r>
        <w:rPr>
          <w:rFonts w:ascii="Arial" w:cs="Arial" w:eastAsia="Arial" w:hAnsi="Arial"/>
          <w:b/>
          <w:bCs/>
          <w:color w:val="2E75B6"/>
          <w:sz w:val="26"/>
          <w:szCs w:val="26"/>
        </w:rPr>
        <w:t xml:space="preserve">Permitted Adapters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2200"/>
        <w:gridCol w:w="2760"/>
      </w:tblGrid>
      <w:tr>
        <w:tc>
          <w:tcPr>
            <w:tcW w:type="dxa" w:w="22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Adapter</w:t>
            </w:r>
          </w:p>
        </w:tc>
        <w:tc>
          <w:tcPr>
            <w:tcW w:type="dxa" w:w="22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220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May change</w:t>
            </w:r>
          </w:p>
        </w:tc>
        <w:tc>
          <w:tcPr>
            <w:tcW w:type="dxa" w:w="2760"/>
            <w:tcBorders>
              <w:top w:val="single" w:color="2E75B6" w:sz="1"/>
              <w:left w:val="single" w:color="2E75B6" w:sz="1"/>
              <w:bottom w:val="single" w:color="2E75B6" w:sz="1"/>
              <w:right w:val="single" w:color="2E75B6"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May NOT change</w:t>
            </w:r>
          </w:p>
        </w:tc>
      </w:tr>
      <w:tr>
        <w:tc>
          <w:tcPr>
            <w:tcW w:type="dxa" w:w="2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StorageAdapter</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Persistence backend</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Database, file system, cloud storage</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Evidence hash, commitment structure</w:t>
            </w:r>
          </w:p>
        </w:tc>
      </w:tr>
      <w:tr>
        <w:tc>
          <w:tcPr>
            <w:tcW w:type="dxa" w:w="2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RegistryAdapter</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Schema registry source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Registry location, caching strategy</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Schema content, version identifiers</w:t>
            </w:r>
          </w:p>
        </w:tc>
      </w:tr>
      <w:tr>
        <w:tc>
          <w:tcPr>
            <w:tcW w:type="dxa" w:w="2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MirrorAdapter</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Mirror surface transport</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Delivery mechanism, CDN, format</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content_hash, proof_hash computation</w:t>
            </w:r>
          </w:p>
        </w:tc>
      </w:tr>
      <w:tr>
        <w:tc>
          <w:tcPr>
            <w:tcW w:type="dxa" w:w="2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404040"/>
                <w:sz w:val="20"/>
                <w:szCs w:val="20"/>
              </w:rPr>
              <w:t xml:space="preserve">PolicyEvaluatorAdapter</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Policy engine</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Evaluation mechanism, DSL</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404040"/>
                <w:sz w:val="20"/>
                <w:szCs w:val="20"/>
              </w:rPr>
              <w:t xml:space="preserve">Policy hash, determinism of result</w:t>
            </w:r>
          </w:p>
        </w:tc>
      </w:tr>
    </w:tbl>
    <w:p>
      <w:pPr>
        <w:spacing w:before="80" w:after="80"/>
      </w:pPr>
    </w:p>
    <w:p>
      <w:pPr>
        <w:pStyle w:val="Heading2"/>
        <w:spacing w:before="280" w:after="80"/>
      </w:pPr>
      <w:r>
        <w:rPr>
          <w:rFonts w:ascii="Arial" w:cs="Arial" w:eastAsia="Arial" w:hAnsi="Arial"/>
          <w:b/>
          <w:bCs/>
          <w:color w:val="2E75B6"/>
          <w:sz w:val="26"/>
          <w:szCs w:val="26"/>
        </w:rPr>
        <w:t xml:space="preserve">Adapter Invariants</w:t>
      </w:r>
    </w:p>
    <w:p>
      <w:pPr>
        <w:shd w:fill="D6E4F0" w:val="clear"/>
        <w:spacing w:before="100" w:after="60"/>
        <w:ind w:left="360" w:right="360"/>
      </w:pPr>
      <w:r>
        <w:rPr>
          <w:rFonts w:ascii="Courier New" w:cs="Courier New" w:eastAsia="Courier New" w:hAnsi="Courier New"/>
          <w:b/>
          <w:bCs/>
          <w:color w:val="1F4E79"/>
          <w:sz w:val="21"/>
          <w:szCs w:val="21"/>
        </w:rPr>
        <w:t xml:space="preserve">AIEP-FC-005  </w:t>
      </w:r>
      <w:r>
        <w:rPr>
          <w:rFonts w:ascii="Arial" w:cs="Arial" w:eastAsia="Arial" w:hAnsi="Arial"/>
          <w:color w:val="404040"/>
          <w:sz w:val="21"/>
          <w:szCs w:val="21"/>
        </w:rPr>
        <w:t xml:space="preserve">Adapters must be deterministic for given input. Adapters must not mutate kernel state. Adapters must not introduce time-based randomness. Adapters must not override arbitration results. Adapters may change infrastructure. They may not change truth.</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§7   Mirror Mandate</w:t>
      </w:r>
    </w:p>
    <w:p>
      <w:pPr>
        <w:spacing w:before="80" w:after="80"/>
      </w:pPr>
      <w:r>
        <w:rPr>
          <w:rFonts w:ascii="Arial" w:cs="Arial" w:eastAsia="Arial" w:hAnsi="Arial"/>
          <w:color w:val="404040"/>
          <w:sz w:val="22"/>
          <w:szCs w:val="22"/>
        </w:rPr>
        <w:t xml:space="preserve">Mirror is a first-class architectural expectation, not a feature. Every artefact produced by the GENOME kernel is mirror-compatible by design.</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AIEP-MIRROR-001  </w:t>
      </w:r>
      <w:r>
        <w:rPr>
          <w:rFonts w:ascii="Arial" w:cs="Arial" w:eastAsia="Arial" w:hAnsi="Arial"/>
          <w:color w:val="404040"/>
          <w:sz w:val="21"/>
          <w:szCs w:val="21"/>
        </w:rPr>
        <w:t xml:space="preserve">All artefacts are mirror-compatible by design. No artefact may be structurally incompatible with Mirror. Visibility is governed by Layer 2 policy, not by kernel logic.</w:t>
      </w: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Default — GENOME SDK</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PRIVATE</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Default — AIEP Hub</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PUBLIC</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Override mechanism</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Layer 2 policy (mirror_visibility_default, public_prefixes, private_prefixes)</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content_hash computation</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kernel/canon only — never overridable</w:t>
            </w:r>
          </w:p>
        </w:tc>
      </w:tr>
    </w:tbl>
    <w:p>
      <w:pPr>
        <w:spacing w:before="80" w:after="80"/>
      </w:pPr>
    </w:p>
    <w:p>
      <w:pPr>
        <w:pStyle w:val="Heading1"/>
        <w:pBdr>
          <w:bottom w:val="single" w:color="2E75B6" w:sz="8" w:space="4"/>
        </w:pBdr>
        <w:spacing w:before="360" w:after="120"/>
      </w:pPr>
      <w:r>
        <w:rPr>
          <w:rFonts w:ascii="Arial" w:cs="Arial" w:eastAsia="Arial" w:hAnsi="Arial"/>
          <w:b/>
          <w:bCs/>
          <w:color w:val="1F4E79"/>
          <w:sz w:val="32"/>
          <w:szCs w:val="32"/>
        </w:rPr>
        <w:t xml:space="preserve">§8   Determinism Requirements</w:t>
      </w:r>
    </w:p>
    <w:p>
      <w:pPr>
        <w:spacing w:before="80" w:after="80"/>
      </w:pPr>
      <w:r>
        <w:rPr>
          <w:rFonts w:ascii="Arial" w:cs="Arial" w:eastAsia="Arial" w:hAnsi="Arial"/>
          <w:color w:val="404040"/>
          <w:sz w:val="22"/>
          <w:szCs w:val="22"/>
        </w:rPr>
        <w:t xml:space="preserve">For any artefact A under capability set C and policy P:</w:t>
      </w:r>
    </w:p>
    <w:p>
      <w:pPr>
        <w:spacing w:before="80" w:after="80"/>
      </w:pPr>
    </w:p>
    <w:p>
      <w:pPr>
        <w:spacing w:before="40" w:after="40"/>
        <w:ind w:left="720"/>
      </w:pPr>
      <w:r>
        <w:rPr>
          <w:rFonts w:ascii="Courier New" w:cs="Courier New" w:eastAsia="Courier New" w:hAnsi="Courier New"/>
          <w:color w:val="1E1E1E"/>
          <w:sz w:val="19"/>
          <w:szCs w:val="19"/>
        </w:rPr>
        <w:t xml:space="preserve">Output = f(A, C, P)</w:t>
      </w:r>
    </w:p>
    <w:p>
      <w:pPr>
        <w:spacing w:before="80" w:after="80"/>
      </w:pPr>
    </w:p>
    <w:p>
      <w:pPr>
        <w:spacing w:before="80" w:after="80"/>
      </w:pPr>
      <w:r>
        <w:rPr>
          <w:rFonts w:ascii="Arial" w:cs="Arial" w:eastAsia="Arial" w:hAnsi="Arial"/>
          <w:color w:val="404040"/>
          <w:sz w:val="22"/>
          <w:szCs w:val="22"/>
        </w:rPr>
        <w:t xml:space="preserve">For identical A, C, P, output must be identical across machines, deployments, jurisdictions, and time (under same version).</w:t>
      </w:r>
    </w:p>
    <w:p>
      <w:pPr>
        <w:spacing w:before="80" w:after="80"/>
      </w:pPr>
    </w:p>
    <w:p>
      <w:pPr>
        <w:pStyle w:val="Heading2"/>
        <w:spacing w:before="280" w:after="80"/>
      </w:pPr>
      <w:r>
        <w:rPr>
          <w:rFonts w:ascii="Arial" w:cs="Arial" w:eastAsia="Arial" w:hAnsi="Arial"/>
          <w:b/>
          <w:bCs/>
          <w:color w:val="2E75B6"/>
          <w:sz w:val="26"/>
          <w:szCs w:val="26"/>
        </w:rPr>
        <w:t xml:space="preserve">Three-Layer Determinism Proof</w:t>
      </w:r>
    </w:p>
    <w:p>
      <w:pPr>
        <w:spacing w:before="80" w:after="80"/>
      </w:pPr>
      <w:r>
        <w:rPr>
          <w:rFonts w:ascii="Arial" w:cs="Arial" w:eastAsia="Arial" w:hAnsi="Arial"/>
          <w:color w:val="404040"/>
          <w:sz w:val="22"/>
          <w:szCs w:val="22"/>
        </w:rPr>
        <w:t xml:space="preserve">The governance_trace_v1 example provides six locked reference hashes proving determinism at all three layers:</w:t>
      </w: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Layer 0: evidence_commitment</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1e73514dd9ec110ec3b647295df4ba6341522701db11f46c0742e46f6b79adab</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Layer 0: pack_hash</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fb73d77f0d84babd7b775406dd11bfad4ce4accef98c41fa7840ef3e5313404b</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Layer 0: negative_proof_hash</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6413c93503255f608311e1fae9a2caacb2079b1b87137fc3f81eae64baf46d5d</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Layer 1: capability_hash</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80b0a0ee9254de1694acb33b46d7e7a5d279ee68bf29cab67fa757d81b13dd3c</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Layer 2: policy_hash</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d326f997a85041af0c15f1caeea44d0a9d63f4418699c6298255e3c040ebc3ca</w:t>
            </w:r>
          </w:p>
        </w:tc>
      </w:tr>
      <w:tr>
        <w:tc>
          <w:tcPr>
            <w:tcW w:type="dxa" w:w="2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Combined: H(ev ‖ cap ‖ pol)</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455b712ece1793097089e4d11cdbd6ae48a81aa889ef5e33eaccaeae8923b311</w:t>
            </w:r>
          </w:p>
        </w:tc>
      </w:tr>
    </w:tbl>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AIEP-REPLAY-001  </w:t>
      </w:r>
      <w:r>
        <w:rPr>
          <w:rFonts w:ascii="Arial" w:cs="Arial" w:eastAsia="Arial" w:hAnsi="Arial"/>
          <w:color w:val="404040"/>
          <w:sz w:val="21"/>
          <w:szCs w:val="21"/>
        </w:rPr>
        <w:t xml:space="preserve">Any two conformant systems with identical A, C, P and LOCKFILE_VERSION must produce identical output hashes at all three layers. If they do not → fail closed.</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§9   Version Fracture Rule</w:t>
      </w:r>
    </w:p>
    <w:p>
      <w:pPr>
        <w:spacing w:before="80" w:after="80"/>
      </w:pPr>
      <w:r>
        <w:rPr>
          <w:rFonts w:ascii="Arial" w:cs="Arial" w:eastAsia="Arial" w:hAnsi="Arial"/>
          <w:color w:val="404040"/>
          <w:sz w:val="22"/>
          <w:szCs w:val="22"/>
        </w:rPr>
        <w:t xml:space="preserve">The Flexibility Test determines whether a change is an operational evolution or a constitutional amendment.</w:t>
      </w:r>
    </w:p>
    <w:p>
      <w:pPr>
        <w:spacing w:before="80" w:after="80"/>
      </w:pPr>
    </w:p>
    <w:p>
      <w:pPr>
        <w:pStyle w:val="Heading2"/>
        <w:spacing w:before="280" w:after="80"/>
      </w:pPr>
      <w:r>
        <w:rPr>
          <w:rFonts w:ascii="Arial" w:cs="Arial" w:eastAsia="Arial" w:hAnsi="Arial"/>
          <w:b/>
          <w:bCs/>
          <w:color w:val="2E75B6"/>
          <w:sz w:val="26"/>
          <w:szCs w:val="26"/>
        </w:rPr>
        <w:t xml:space="preserve">The Flexibility Test</w:t>
      </w:r>
    </w:p>
    <w:p>
      <w:pPr>
        <w:spacing w:before="80" w:after="80"/>
      </w:pPr>
      <w:r>
        <w:rPr>
          <w:rFonts w:ascii="Arial" w:cs="Arial" w:eastAsia="Arial" w:hAnsi="Arial"/>
          <w:color w:val="404040"/>
          <w:sz w:val="22"/>
          <w:szCs w:val="22"/>
        </w:rPr>
        <w:t xml:space="preserve">A requested change is valid without version fracture if it can be expressed as:</w:t>
      </w:r>
    </w:p>
    <w:p>
      <w:pPr>
        <w:shd w:fill="E6F4EA" w:val="clear"/>
        <w:spacing w:before="60" w:after="40"/>
        <w:ind w:left="720"/>
      </w:pPr>
      <w:r>
        <w:rPr>
          <w:rFonts w:ascii="Arial" w:cs="Arial" w:eastAsia="Arial" w:hAnsi="Arial"/>
          <w:color w:val="375623"/>
          <w:sz w:val="22"/>
          <w:szCs w:val="22"/>
        </w:rPr>
        <w:t xml:space="preserve">✓  A policy change (Layer 2)</w:t>
      </w:r>
    </w:p>
    <w:p>
      <w:pPr>
        <w:shd w:fill="E6F4EA" w:val="clear"/>
        <w:spacing w:before="60" w:after="40"/>
        <w:ind w:left="720"/>
      </w:pPr>
      <w:r>
        <w:rPr>
          <w:rFonts w:ascii="Arial" w:cs="Arial" w:eastAsia="Arial" w:hAnsi="Arial"/>
          <w:color w:val="375623"/>
          <w:sz w:val="22"/>
          <w:szCs w:val="22"/>
        </w:rPr>
        <w:t xml:space="preserve">✓  A capability selection (Layer 1)</w:t>
      </w:r>
    </w:p>
    <w:p>
      <w:pPr>
        <w:shd w:fill="E6F4EA" w:val="clear"/>
        <w:spacing w:before="60" w:after="40"/>
        <w:ind w:left="720"/>
      </w:pPr>
      <w:r>
        <w:rPr>
          <w:rFonts w:ascii="Arial" w:cs="Arial" w:eastAsia="Arial" w:hAnsi="Arial"/>
          <w:color w:val="375623"/>
          <w:sz w:val="22"/>
          <w:szCs w:val="22"/>
        </w:rPr>
        <w:t xml:space="preserve">✓  An adapter swap (FC §6)</w:t>
      </w:r>
    </w:p>
    <w:p>
      <w:pPr>
        <w:shd w:fill="E6F4EA" w:val="clear"/>
        <w:spacing w:before="60" w:after="40"/>
        <w:ind w:left="720"/>
      </w:pPr>
      <w:r>
        <w:rPr>
          <w:rFonts w:ascii="Arial" w:cs="Arial" w:eastAsia="Arial" w:hAnsi="Arial"/>
          <w:color w:val="375623"/>
          <w:sz w:val="22"/>
          <w:szCs w:val="22"/>
        </w:rPr>
        <w:t xml:space="preserve">✓  An enterprise-layer enhancement (Layer 3)</w:t>
      </w:r>
    </w:p>
    <w:p>
      <w:pPr>
        <w:spacing w:before="80" w:after="80"/>
      </w:pPr>
    </w:p>
    <w:p>
      <w:pPr>
        <w:spacing w:before="80" w:after="80"/>
      </w:pPr>
      <w:r>
        <w:rPr>
          <w:rFonts w:ascii="Arial" w:cs="Arial" w:eastAsia="Arial" w:hAnsi="Arial"/>
          <w:color w:val="404040"/>
          <w:sz w:val="22"/>
          <w:szCs w:val="22"/>
        </w:rPr>
        <w:t xml:space="preserve">If it requires editing kernel logic → it is a new protocol version.</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AIEP-FC-009  </w:t>
      </w:r>
      <w:r>
        <w:rPr>
          <w:rFonts w:ascii="Arial" w:cs="Arial" w:eastAsia="Arial" w:hAnsi="Arial"/>
          <w:color w:val="404040"/>
          <w:sz w:val="21"/>
          <w:szCs w:val="21"/>
        </w:rPr>
        <w:t xml:space="preserve">The Flexibility Test is the constitutional gate for all change requests. Apply it before any modification to any GENOME component.</w:t>
      </w:r>
    </w:p>
    <w:p>
      <w:r>
        <w:br w:type="page"/>
      </w:r>
    </w:p>
    <w:p>
      <w:pPr>
        <w:pStyle w:val="Heading1"/>
        <w:pBdr>
          <w:bottom w:val="single" w:color="2E75B6" w:sz="8" w:space="4"/>
        </w:pBdr>
        <w:spacing w:before="360" w:after="120"/>
      </w:pPr>
      <w:r>
        <w:rPr>
          <w:rFonts w:ascii="Arial" w:cs="Arial" w:eastAsia="Arial" w:hAnsi="Arial"/>
          <w:b/>
          <w:bCs/>
          <w:color w:val="1F4E79"/>
          <w:sz w:val="32"/>
          <w:szCs w:val="32"/>
        </w:rPr>
        <w:t xml:space="preserve">§10   Security Invariants</w:t>
      </w:r>
    </w:p>
    <w:p>
      <w:pPr>
        <w:spacing w:before="80" w:after="80"/>
      </w:pPr>
      <w:r>
        <w:rPr>
          <w:rFonts w:ascii="Arial" w:cs="Arial" w:eastAsia="Arial" w:hAnsi="Arial"/>
          <w:color w:val="404040"/>
          <w:sz w:val="22"/>
          <w:szCs w:val="22"/>
        </w:rPr>
        <w:t xml:space="preserve">Security posture is documented per version. The following invariants are binding for LOCKFILE_VERSION 1.0.0.</w:t>
      </w:r>
    </w:p>
    <w:p>
      <w:pPr>
        <w:spacing w:before="8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Invariant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Policy / Control</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Hash collision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AIEP-HASH-COLLISION-001 — SHA-256 assumed; schema_version_id in all hashes; migration path defined</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Replay attack</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collection_ts + expiry_ts + schema_version_id bound in every commitment; AIEP-REPLAY-001</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Registry compromise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kernel_bundle_hash verified at startup; LOCKFILE mismatch → fail closed; no silent mutation</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Timeout policy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AIEP-TIMEOUT-001 — deterministic ops have no timeout; network ops carry schema-defined timeout</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Fail-closed state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Two states only: OPEN or CLOSED. CLOSED is data, not exception. Cannot be suppressed by any instruction above kernel.</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Concat boundary collision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Length-prefixed-8be eliminates all boundary collisions algebraically (R7)</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Minus-zero injection</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R5: minus-zero raises ValueError in canon.py before hashing</w:t>
            </w:r>
          </w:p>
        </w:tc>
      </w:tr>
      <w:tr>
        <w:tc>
          <w:tcPr>
            <w:tcW w:type="dxa" w:w="30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1F4E79"/>
                <w:sz w:val="20"/>
                <w:szCs w:val="20"/>
              </w:rPr>
              <w:t xml:space="preserve">NFC bypass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04040"/>
                <w:sz w:val="20"/>
                <w:szCs w:val="20"/>
              </w:rPr>
              <w:t xml:space="preserve">R3: NFC applied to all strings before serialisation</w:t>
            </w:r>
          </w:p>
        </w:tc>
      </w:tr>
    </w:tbl>
    <w:p>
      <w:pPr>
        <w:spacing w:before="80" w:after="80"/>
      </w:pPr>
    </w:p>
    <w:p>
      <w:pPr>
        <w:spacing w:before="80" w:after="80"/>
      </w:pPr>
    </w:p>
    <w:p>
      <w:pPr>
        <w:pStyle w:val="Heading1"/>
        <w:pBdr>
          <w:bottom w:val="single" w:color="2E75B6" w:sz="8" w:space="4"/>
        </w:pBdr>
        <w:spacing w:before="360" w:after="120"/>
      </w:pPr>
      <w:r>
        <w:rPr>
          <w:rFonts w:ascii="Arial" w:cs="Arial" w:eastAsia="Arial" w:hAnsi="Arial"/>
          <w:b/>
          <w:bCs/>
          <w:color w:val="1F4E79"/>
          <w:sz w:val="32"/>
          <w:szCs w:val="32"/>
        </w:rPr>
        <w:t xml:space="preserve">Constitutional Principle</w:t>
      </w:r>
    </w:p>
    <w:p>
      <w:pPr>
        <w:spacing w:before="80" w:after="80"/>
      </w:pPr>
      <w:r>
        <w:rPr>
          <w:rFonts w:ascii="Arial" w:cs="Arial" w:eastAsia="Arial" w:hAnsi="Arial"/>
          <w:b/>
          <w:bCs/>
          <w:color w:val="404040"/>
          <w:sz w:val="22"/>
          <w:szCs w:val="22"/>
        </w:rPr>
        <w:t xml:space="preserve">GENOME is not a framework.</w:t>
      </w:r>
    </w:p>
    <w:p>
      <w:pPr>
        <w:spacing w:before="80" w:after="80"/>
      </w:pPr>
      <w:r>
        <w:rPr>
          <w:rFonts w:ascii="Arial" w:cs="Arial" w:eastAsia="Arial" w:hAnsi="Arial"/>
          <w:color w:val="404040"/>
          <w:sz w:val="22"/>
          <w:szCs w:val="22"/>
        </w:rPr>
        <w:t xml:space="preserve">It is a governed deterministic protocol kernel with configurable operational layers.</w:t>
      </w:r>
    </w:p>
    <w:p>
      <w:pPr>
        <w:spacing w:before="80" w:after="80"/>
      </w:pPr>
    </w:p>
    <w:p>
      <w:pPr>
        <w:spacing w:before="80" w:after="80"/>
      </w:pPr>
      <w:r>
        <w:rPr>
          <w:rFonts w:ascii="Arial" w:cs="Arial" w:eastAsia="Arial" w:hAnsi="Arial"/>
          <w:color w:val="404040"/>
          <w:sz w:val="22"/>
          <w:szCs w:val="22"/>
        </w:rPr>
        <w:t xml:space="preserve">Flexibility exists. But it exists within declared, versioned, reproducible, governed boundaries. Otherwise GENOME becomes patchwork — and loses both reference authority and enterprise trust.</w:t>
      </w:r>
    </w:p>
    <w:p>
      <w:pPr>
        <w:spacing w:before="80" w:after="80"/>
      </w:pPr>
    </w:p>
    <w:p>
      <w:pPr>
        <w:shd w:fill="D6E4F0" w:val="clear"/>
        <w:spacing w:before="100" w:after="60"/>
        <w:ind w:left="360" w:right="360"/>
      </w:pPr>
      <w:r>
        <w:rPr>
          <w:rFonts w:ascii="Courier New" w:cs="Courier New" w:eastAsia="Courier New" w:hAnsi="Courier New"/>
          <w:b/>
          <w:bCs/>
          <w:color w:val="1F4E79"/>
          <w:sz w:val="21"/>
          <w:szCs w:val="21"/>
        </w:rPr>
        <w:t xml:space="preserve">AIEP-FC-000  </w:t>
      </w:r>
      <w:r>
        <w:rPr>
          <w:rFonts w:ascii="Arial" w:cs="Arial" w:eastAsia="Arial" w:hAnsi="Arial"/>
          <w:color w:val="404040"/>
          <w:sz w:val="21"/>
          <w:szCs w:val="21"/>
        </w:rPr>
        <w:t xml:space="preserve">Flexibility is structured. Flexibility is declared. Flexibility is versioned. Flexibility is reproducible. Flexibility is governed. Unstructured flexibility is not flexibility — it is drift.</w:t>
      </w:r>
    </w:p>
    <w:p>
      <w:pPr>
        <w:spacing w:before="80" w:after="80"/>
      </w:pPr>
    </w:p>
    <w:p>
      <w:pPr>
        <w:spacing w:before="80" w:after="80"/>
      </w:pPr>
    </w:p>
    <w:p>
      <w:pPr>
        <w:pBdr>
          <w:top w:val="single" w:color="2E75B6" w:sz="4" w:space="4"/>
        </w:pBdr>
        <w:spacing w:before="480" w:after="0"/>
      </w:pPr>
      <w:r>
        <w:rPr>
          <w:rFonts w:ascii="Arial" w:cs="Arial" w:eastAsia="Arial" w:hAnsi="Arial"/>
          <w:color w:val="888888"/>
          <w:sz w:val="18"/>
          <w:szCs w:val="18"/>
        </w:rPr>
        <w:t xml:space="preserve">AIEP GENOME — Flexibility Contract v1.0  |  AIEP-FC-001  |  Binding Architectural Constraint  |  Apache License 2.0  |  Phatfella Ltd / AIEP Ltd  |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20"/>
      <w:outlineLvl w:val="0"/>
    </w:pPr>
    <w:rPr>
      <w:rFonts w:ascii="Arial" w:cs="Arial" w:eastAsia="Arial" w:hAnsi="Arial"/>
      <w:b/>
      <w:bCs/>
      <w:color w:val="1F4E79"/>
      <w:sz w:val="32"/>
      <w:szCs w:val="32"/>
    </w:rPr>
  </w:style>
  <w:style w:type="paragraph" w:styleId="Heading2">
    <w:name w:val="Heading 2"/>
    <w:basedOn w:val="Normal"/>
    <w:next w:val="Normal"/>
    <w:qFormat/>
    <w:pPr>
      <w:spacing w:before="280" w:after="80"/>
      <w:outlineLvl w:val="1"/>
    </w:pPr>
    <w:rPr>
      <w:rFonts w:ascii="Arial" w:cs="Arial" w:eastAsia="Arial" w:hAnsi="Arial"/>
      <w:b/>
      <w:bCs/>
      <w:color w:val="2E75B6"/>
      <w:sz w:val="26"/>
      <w:szCs w:val="26"/>
    </w:rPr>
  </w:style>
  <w:style w:type="paragraph" w:styleId="Heading3">
    <w:name w:val="Heading 3"/>
    <w:basedOn w:val="Normal"/>
    <w:next w:val="Normal"/>
    <w:qFormat/>
    <w:pPr>
      <w:spacing w:before="200" w:after="6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2026-02-27T23:41:56.569Z</dcterms:created>
  <dcterms:modified xsi:type="dcterms:W3CDTF">2026-02-27T23:41:56.570Z</dcterms:modified>
</cp:coreProperties>
</file>

<file path=docProps/custom.xml><?xml version="1.0" encoding="utf-8"?>
<Properties xmlns="http://schemas.openxmlformats.org/officeDocument/2006/custom-properties" xmlns:vt="http://schemas.openxmlformats.org/officeDocument/2006/docPropsVTypes"/>
</file>